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1652649"/>
        <w:docPartObj>
          <w:docPartGallery w:val="Cover Pages"/>
          <w:docPartUnique/>
        </w:docPartObj>
      </w:sdtPr>
      <w:sdtEndPr/>
      <w:sdtContent>
        <w:p w14:paraId="13DD3F41" w14:textId="7847945D" w:rsidR="00E71D3C" w:rsidRDefault="00E71D3C">
          <w:r>
            <w:rPr>
              <w:noProof/>
            </w:rPr>
            <mc:AlternateContent>
              <mc:Choice Requires="wpg">
                <w:drawing>
                  <wp:anchor distT="0" distB="0" distL="114300" distR="114300" simplePos="0" relativeHeight="251662336" behindDoc="0" locked="0" layoutInCell="1" allowOverlap="1" wp14:anchorId="29D04E9F" wp14:editId="3764F178">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7CE5A1"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6905BEA" wp14:editId="5B22F93F">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C45911" w:themeColor="accent2" w:themeShade="BF"/>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5F2AABF" w14:textId="45630AAC" w:rsidR="00E71D3C" w:rsidRPr="00EC0D9F" w:rsidRDefault="00EC0D9F">
                                    <w:pPr>
                                      <w:pStyle w:val="NoSpacing"/>
                                      <w:jc w:val="right"/>
                                      <w:rPr>
                                        <w:color w:val="C45911" w:themeColor="accent2" w:themeShade="BF"/>
                                        <w:sz w:val="32"/>
                                        <w:szCs w:val="32"/>
                                      </w:rPr>
                                    </w:pPr>
                                    <w:r w:rsidRPr="00EC0D9F">
                                      <w:rPr>
                                        <w:color w:val="C45911" w:themeColor="accent2" w:themeShade="BF"/>
                                        <w:sz w:val="32"/>
                                        <w:szCs w:val="32"/>
                                      </w:rPr>
                                      <w:t>Provider Relations</w:t>
                                    </w:r>
                                  </w:p>
                                </w:sdtContent>
                              </w:sdt>
                              <w:p w14:paraId="598D51B4" w14:textId="60A307B3" w:rsidR="00E71D3C" w:rsidRDefault="00752F0F">
                                <w:pPr>
                                  <w:pStyle w:val="NoSpacing"/>
                                  <w:jc w:val="right"/>
                                  <w:rPr>
                                    <w:color w:val="595959" w:themeColor="text1" w:themeTint="A6"/>
                                    <w:sz w:val="18"/>
                                    <w:szCs w:val="18"/>
                                  </w:rPr>
                                </w:pPr>
                                <w:sdt>
                                  <w:sdtPr>
                                    <w:rPr>
                                      <w:color w:val="92D050"/>
                                      <w:sz w:val="24"/>
                                      <w:szCs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AF158E">
                                      <w:rPr>
                                        <w:color w:val="92D050"/>
                                        <w:sz w:val="24"/>
                                        <w:szCs w:val="24"/>
                                      </w:rPr>
                                      <w:t>ACENTRA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905BEA" id="_x0000_t202" coordsize="21600,21600" o:spt="202" path="m,l,21600r21600,l21600,xe">
                    <v:stroke joinstyle="miter"/>
                    <v:path gradientshapeok="t" o:connecttype="rect"/>
                  </v:shapetype>
                  <v:shape id="Text Box 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C45911" w:themeColor="accent2" w:themeShade="BF"/>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5F2AABF" w14:textId="45630AAC" w:rsidR="00E71D3C" w:rsidRPr="00EC0D9F" w:rsidRDefault="00EC0D9F">
                              <w:pPr>
                                <w:pStyle w:val="NoSpacing"/>
                                <w:jc w:val="right"/>
                                <w:rPr>
                                  <w:color w:val="C45911" w:themeColor="accent2" w:themeShade="BF"/>
                                  <w:sz w:val="32"/>
                                  <w:szCs w:val="32"/>
                                </w:rPr>
                              </w:pPr>
                              <w:r w:rsidRPr="00EC0D9F">
                                <w:rPr>
                                  <w:color w:val="C45911" w:themeColor="accent2" w:themeShade="BF"/>
                                  <w:sz w:val="32"/>
                                  <w:szCs w:val="32"/>
                                </w:rPr>
                                <w:t>Provider Relations</w:t>
                              </w:r>
                            </w:p>
                          </w:sdtContent>
                        </w:sdt>
                        <w:p w14:paraId="598D51B4" w14:textId="60A307B3" w:rsidR="00E71D3C" w:rsidRDefault="00752F0F">
                          <w:pPr>
                            <w:pStyle w:val="NoSpacing"/>
                            <w:jc w:val="right"/>
                            <w:rPr>
                              <w:color w:val="595959" w:themeColor="text1" w:themeTint="A6"/>
                              <w:sz w:val="18"/>
                              <w:szCs w:val="18"/>
                            </w:rPr>
                          </w:pPr>
                          <w:sdt>
                            <w:sdtPr>
                              <w:rPr>
                                <w:color w:val="92D050"/>
                                <w:sz w:val="24"/>
                                <w:szCs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AF158E">
                                <w:rPr>
                                  <w:color w:val="92D050"/>
                                  <w:sz w:val="24"/>
                                  <w:szCs w:val="24"/>
                                </w:rPr>
                                <w:t>ACENTRA</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0862337" wp14:editId="6DEC6AAB">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CC9A2" w14:textId="515BC85C" w:rsidR="00E71D3C" w:rsidRDefault="00752F0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1D3C">
                                      <w:rPr>
                                        <w:caps/>
                                        <w:color w:val="4472C4" w:themeColor="accent1"/>
                                        <w:sz w:val="64"/>
                                        <w:szCs w:val="64"/>
                                      </w:rPr>
                                      <w:t>Concurrent Review Submissions</w:t>
                                    </w:r>
                                  </w:sdtContent>
                                </w:sdt>
                              </w:p>
                              <w:sdt>
                                <w:sdtPr>
                                  <w:rPr>
                                    <w:color w:val="C0000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4301F3F" w14:textId="0C026F03" w:rsidR="00E71D3C" w:rsidRPr="00851BAC" w:rsidRDefault="00E71D3C">
                                    <w:pPr>
                                      <w:jc w:val="right"/>
                                      <w:rPr>
                                        <w:smallCaps/>
                                        <w:color w:val="C00000"/>
                                        <w:sz w:val="36"/>
                                        <w:szCs w:val="36"/>
                                      </w:rPr>
                                    </w:pPr>
                                    <w:r w:rsidRPr="00851BAC">
                                      <w:rPr>
                                        <w:color w:val="C00000"/>
                                        <w:sz w:val="36"/>
                                        <w:szCs w:val="36"/>
                                      </w:rPr>
                                      <w:t>Step by Step Instructions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0862337" id="Text Box 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4FDCC9A2" w14:textId="515BC85C" w:rsidR="00E71D3C" w:rsidRDefault="00752F0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1D3C">
                                <w:rPr>
                                  <w:caps/>
                                  <w:color w:val="4472C4" w:themeColor="accent1"/>
                                  <w:sz w:val="64"/>
                                  <w:szCs w:val="64"/>
                                </w:rPr>
                                <w:t>Concurrent Review Submissions</w:t>
                              </w:r>
                            </w:sdtContent>
                          </w:sdt>
                        </w:p>
                        <w:sdt>
                          <w:sdtPr>
                            <w:rPr>
                              <w:color w:val="C0000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4301F3F" w14:textId="0C026F03" w:rsidR="00E71D3C" w:rsidRPr="00851BAC" w:rsidRDefault="00E71D3C">
                              <w:pPr>
                                <w:jc w:val="right"/>
                                <w:rPr>
                                  <w:smallCaps/>
                                  <w:color w:val="C00000"/>
                                  <w:sz w:val="36"/>
                                  <w:szCs w:val="36"/>
                                </w:rPr>
                              </w:pPr>
                              <w:r w:rsidRPr="00851BAC">
                                <w:rPr>
                                  <w:color w:val="C00000"/>
                                  <w:sz w:val="36"/>
                                  <w:szCs w:val="36"/>
                                </w:rPr>
                                <w:t>Step by Step Instructions</w:t>
                              </w:r>
                            </w:p>
                          </w:sdtContent>
                        </w:sdt>
                      </w:txbxContent>
                    </v:textbox>
                    <w10:wrap type="square" anchorx="page" anchory="page"/>
                  </v:shape>
                </w:pict>
              </mc:Fallback>
            </mc:AlternateContent>
          </w:r>
        </w:p>
        <w:p w14:paraId="5B95049F" w14:textId="6D139B42" w:rsidR="00E71D3C" w:rsidRDefault="00851BAC">
          <w:r>
            <w:rPr>
              <w:noProof/>
            </w:rPr>
            <mc:AlternateContent>
              <mc:Choice Requires="wps">
                <w:drawing>
                  <wp:anchor distT="0" distB="0" distL="114300" distR="114300" simplePos="0" relativeHeight="251661312" behindDoc="0" locked="0" layoutInCell="1" allowOverlap="1" wp14:anchorId="67C0CC89" wp14:editId="52BC7D21">
                    <wp:simplePos x="0" y="0"/>
                    <wp:positionH relativeFrom="page">
                      <wp:posOffset>5727664</wp:posOffset>
                    </wp:positionH>
                    <wp:positionV relativeFrom="page">
                      <wp:posOffset>5235803</wp:posOffset>
                    </wp:positionV>
                    <wp:extent cx="3719482" cy="724619"/>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3719482" cy="724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385623" w:themeColor="accent6" w:themeShade="80"/>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270B090" w14:textId="010A3018" w:rsidR="00E71D3C" w:rsidRPr="00851BAC" w:rsidRDefault="00851BAC" w:rsidP="00851BAC">
                                    <w:pPr>
                                      <w:pStyle w:val="NoSpacing"/>
                                      <w:jc w:val="center"/>
                                      <w:rPr>
                                        <w:color w:val="385623" w:themeColor="accent6" w:themeShade="80"/>
                                        <w:sz w:val="20"/>
                                        <w:szCs w:val="20"/>
                                      </w:rPr>
                                    </w:pPr>
                                    <w:r w:rsidRPr="00851BAC">
                                      <w:rPr>
                                        <w:color w:val="385623" w:themeColor="accent6" w:themeShade="80"/>
                                        <w:sz w:val="20"/>
                                        <w:szCs w:val="20"/>
                                      </w:rPr>
                                      <w:t>A step-by-step overview of how to submit a concurrent review on your PA.</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C0CC89" id="Text Box 53" o:spid="_x0000_s1028" type="#_x0000_t202" style="position:absolute;margin-left:451pt;margin-top:412.25pt;width:292.85pt;height: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" filled="f" stroked="f" strokeweight=".5pt">
                    <v:textbox inset="126pt,0,54pt,0">
                      <w:txbxContent>
                        <w:sdt>
                          <w:sdtPr>
                            <w:rPr>
                              <w:color w:val="385623" w:themeColor="accent6" w:themeShade="80"/>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270B090" w14:textId="010A3018" w:rsidR="00E71D3C" w:rsidRPr="00851BAC" w:rsidRDefault="00851BAC" w:rsidP="00851BAC">
                              <w:pPr>
                                <w:pStyle w:val="NoSpacing"/>
                                <w:jc w:val="center"/>
                                <w:rPr>
                                  <w:color w:val="385623" w:themeColor="accent6" w:themeShade="80"/>
                                  <w:sz w:val="20"/>
                                  <w:szCs w:val="20"/>
                                </w:rPr>
                              </w:pPr>
                              <w:r w:rsidRPr="00851BAC">
                                <w:rPr>
                                  <w:color w:val="385623" w:themeColor="accent6" w:themeShade="80"/>
                                  <w:sz w:val="20"/>
                                  <w:szCs w:val="20"/>
                                </w:rPr>
                                <w:t>A step-by-step overview of how to submit a concurrent review on your PA.</w:t>
                              </w:r>
                            </w:p>
                          </w:sdtContent>
                        </w:sdt>
                      </w:txbxContent>
                    </v:textbox>
                    <w10:wrap type="square" anchorx="page" anchory="page"/>
                  </v:shape>
                </w:pict>
              </mc:Fallback>
            </mc:AlternateContent>
          </w:r>
          <w:r w:rsidR="00E71D3C">
            <w:br w:type="page"/>
          </w:r>
        </w:p>
      </w:sdtContent>
    </w:sdt>
    <w:p w14:paraId="03DB0786" w14:textId="10A9C270" w:rsidR="005947E8" w:rsidRPr="00160E43" w:rsidRDefault="005947E8">
      <w:pPr>
        <w:rPr>
          <w:rFonts w:ascii="Batang" w:eastAsia="Batang" w:hAnsi="Batang"/>
          <w:sz w:val="28"/>
          <w:szCs w:val="28"/>
        </w:rPr>
      </w:pPr>
      <w:r w:rsidRPr="00160E43">
        <w:rPr>
          <w:rFonts w:ascii="Batang" w:eastAsia="Batang" w:hAnsi="Batang"/>
          <w:sz w:val="28"/>
          <w:szCs w:val="28"/>
        </w:rPr>
        <w:lastRenderedPageBreak/>
        <w:t>Next to the Member row you wish to extend, select the actions drop down, then extend. It will ask if you want to extend that record, select yes.</w:t>
      </w:r>
    </w:p>
    <w:p w14:paraId="496724D7" w14:textId="77777777" w:rsidR="005947E8" w:rsidRPr="00160E43" w:rsidRDefault="005947E8">
      <w:pPr>
        <w:rPr>
          <w:rFonts w:ascii="Batang" w:eastAsia="Batang" w:hAnsi="Batang"/>
          <w:sz w:val="28"/>
          <w:szCs w:val="28"/>
        </w:rPr>
      </w:pPr>
    </w:p>
    <w:p w14:paraId="3EEF156F" w14:textId="04BC5DCD" w:rsidR="00F62B86" w:rsidRPr="00160E43" w:rsidRDefault="005947E8">
      <w:pPr>
        <w:rPr>
          <w:rFonts w:ascii="Batang" w:eastAsia="Batang" w:hAnsi="Batang"/>
          <w:sz w:val="28"/>
          <w:szCs w:val="28"/>
        </w:rPr>
      </w:pPr>
      <w:r w:rsidRPr="00160E43">
        <w:rPr>
          <w:rFonts w:ascii="Batang" w:eastAsia="Batang" w:hAnsi="Batang"/>
          <w:noProof/>
          <w:sz w:val="28"/>
          <w:szCs w:val="28"/>
        </w:rPr>
        <w:drawing>
          <wp:inline distT="0" distB="0" distL="0" distR="0" wp14:anchorId="3DA87B34" wp14:editId="7A664D12">
            <wp:extent cx="9487331" cy="1731291"/>
            <wp:effectExtent l="0" t="0" r="0" b="2540"/>
            <wp:docPr id="19056003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600353" name="Picture 1" descr="A screenshot of a computer&#10;&#10;Description automatically generated"/>
                    <pic:cNvPicPr/>
                  </pic:nvPicPr>
                  <pic:blipFill>
                    <a:blip r:embed="rId7"/>
                    <a:stretch>
                      <a:fillRect/>
                    </a:stretch>
                  </pic:blipFill>
                  <pic:spPr>
                    <a:xfrm>
                      <a:off x="0" y="0"/>
                      <a:ext cx="9536105" cy="1740191"/>
                    </a:xfrm>
                    <a:prstGeom prst="rect">
                      <a:avLst/>
                    </a:prstGeom>
                  </pic:spPr>
                </pic:pic>
              </a:graphicData>
            </a:graphic>
          </wp:inline>
        </w:drawing>
      </w:r>
    </w:p>
    <w:p w14:paraId="0E0F7E6C" w14:textId="77777777" w:rsidR="005947E8" w:rsidRPr="00160E43" w:rsidRDefault="005947E8">
      <w:pPr>
        <w:rPr>
          <w:rFonts w:ascii="Batang" w:eastAsia="Batang" w:hAnsi="Batang"/>
          <w:sz w:val="28"/>
          <w:szCs w:val="28"/>
        </w:rPr>
      </w:pPr>
    </w:p>
    <w:p w14:paraId="2CB79302" w14:textId="3384B579" w:rsidR="003B3F04" w:rsidRPr="00160E43" w:rsidRDefault="003B3F04">
      <w:pPr>
        <w:rPr>
          <w:rFonts w:ascii="Batang" w:eastAsia="Batang" w:hAnsi="Batang"/>
          <w:sz w:val="28"/>
          <w:szCs w:val="28"/>
        </w:rPr>
      </w:pPr>
      <w:r w:rsidRPr="00160E43">
        <w:rPr>
          <w:rFonts w:ascii="Batang" w:eastAsia="Batang" w:hAnsi="Batang"/>
          <w:sz w:val="28"/>
          <w:szCs w:val="28"/>
        </w:rPr>
        <w:t>You can either use the expand all button to open all sections at once or you can select the down carat for the sections you need to access.</w:t>
      </w:r>
    </w:p>
    <w:p w14:paraId="06D50C09" w14:textId="09AAADF3" w:rsidR="003B3F04" w:rsidRPr="00160E43" w:rsidRDefault="003B3F04">
      <w:pPr>
        <w:rPr>
          <w:rFonts w:ascii="Batang" w:eastAsia="Batang" w:hAnsi="Batang"/>
          <w:sz w:val="28"/>
          <w:szCs w:val="28"/>
        </w:rPr>
      </w:pPr>
      <w:r w:rsidRPr="00160E43">
        <w:rPr>
          <w:rFonts w:ascii="Batang" w:eastAsia="Batang" w:hAnsi="Batang"/>
          <w:noProof/>
          <w:sz w:val="28"/>
          <w:szCs w:val="28"/>
        </w:rPr>
        <w:drawing>
          <wp:inline distT="0" distB="0" distL="0" distR="0" wp14:anchorId="73DFF494" wp14:editId="670EDED1">
            <wp:extent cx="9357935" cy="3039283"/>
            <wp:effectExtent l="0" t="0" r="0" b="8890"/>
            <wp:docPr id="7768496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849685" name="Picture 1" descr="A screenshot of a computer&#10;&#10;Description automatically generated"/>
                    <pic:cNvPicPr/>
                  </pic:nvPicPr>
                  <pic:blipFill>
                    <a:blip r:embed="rId8"/>
                    <a:stretch>
                      <a:fillRect/>
                    </a:stretch>
                  </pic:blipFill>
                  <pic:spPr>
                    <a:xfrm>
                      <a:off x="0" y="0"/>
                      <a:ext cx="9376903" cy="3045444"/>
                    </a:xfrm>
                    <a:prstGeom prst="rect">
                      <a:avLst/>
                    </a:prstGeom>
                  </pic:spPr>
                </pic:pic>
              </a:graphicData>
            </a:graphic>
          </wp:inline>
        </w:drawing>
      </w:r>
    </w:p>
    <w:p w14:paraId="5E38FF84" w14:textId="3D292008" w:rsidR="00356F24" w:rsidRPr="00160E43" w:rsidRDefault="00356F24">
      <w:pPr>
        <w:rPr>
          <w:rFonts w:ascii="Batang" w:eastAsia="Batang" w:hAnsi="Batang"/>
          <w:sz w:val="28"/>
          <w:szCs w:val="28"/>
        </w:rPr>
      </w:pPr>
      <w:r w:rsidRPr="00160E43">
        <w:rPr>
          <w:rFonts w:ascii="Batang" w:eastAsia="Batang" w:hAnsi="Batang"/>
          <w:sz w:val="28"/>
          <w:szCs w:val="28"/>
        </w:rPr>
        <w:lastRenderedPageBreak/>
        <w:t xml:space="preserve">Under the clinical section, you will see a recap of the initial submission information and R01, </w:t>
      </w:r>
      <w:r w:rsidR="00160E43" w:rsidRPr="00160E43">
        <w:rPr>
          <w:rFonts w:ascii="Batang" w:eastAsia="Batang" w:hAnsi="Batang"/>
          <w:sz w:val="28"/>
          <w:szCs w:val="28"/>
        </w:rPr>
        <w:t>etc.</w:t>
      </w:r>
      <w:r w:rsidRPr="00160E43">
        <w:rPr>
          <w:rFonts w:ascii="Batang" w:eastAsia="Batang" w:hAnsi="Batang"/>
          <w:sz w:val="28"/>
          <w:szCs w:val="28"/>
        </w:rPr>
        <w:t>, that have been processed will show but not be expanded. The new request row will be expanded and will show as Un-Submitted.</w:t>
      </w:r>
    </w:p>
    <w:p w14:paraId="512E1788" w14:textId="45EC6416" w:rsidR="00356F24" w:rsidRPr="00160E43" w:rsidRDefault="00356F24">
      <w:pPr>
        <w:rPr>
          <w:rFonts w:ascii="Batang" w:eastAsia="Batang" w:hAnsi="Batang"/>
          <w:sz w:val="28"/>
          <w:szCs w:val="28"/>
        </w:rPr>
      </w:pPr>
      <w:r w:rsidRPr="00160E43">
        <w:rPr>
          <w:rFonts w:ascii="Batang" w:eastAsia="Batang" w:hAnsi="Batang"/>
          <w:noProof/>
          <w:sz w:val="28"/>
          <w:szCs w:val="28"/>
        </w:rPr>
        <w:drawing>
          <wp:inline distT="0" distB="0" distL="0" distR="0" wp14:anchorId="18C875B6" wp14:editId="6BDEB77B">
            <wp:extent cx="9441773" cy="4058530"/>
            <wp:effectExtent l="0" t="0" r="7620" b="0"/>
            <wp:docPr id="1796990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90253" name=""/>
                    <pic:cNvPicPr/>
                  </pic:nvPicPr>
                  <pic:blipFill>
                    <a:blip r:embed="rId9"/>
                    <a:stretch>
                      <a:fillRect/>
                    </a:stretch>
                  </pic:blipFill>
                  <pic:spPr>
                    <a:xfrm>
                      <a:off x="0" y="0"/>
                      <a:ext cx="9465619" cy="4068780"/>
                    </a:xfrm>
                    <a:prstGeom prst="rect">
                      <a:avLst/>
                    </a:prstGeom>
                  </pic:spPr>
                </pic:pic>
              </a:graphicData>
            </a:graphic>
          </wp:inline>
        </w:drawing>
      </w:r>
    </w:p>
    <w:p w14:paraId="3DC078FE" w14:textId="6180B412" w:rsidR="005947E8" w:rsidRPr="00160E43" w:rsidRDefault="00356F24">
      <w:pPr>
        <w:rPr>
          <w:rFonts w:ascii="Batang" w:eastAsia="Batang" w:hAnsi="Batang"/>
          <w:sz w:val="28"/>
          <w:szCs w:val="28"/>
        </w:rPr>
      </w:pPr>
      <w:r w:rsidRPr="00160E43">
        <w:rPr>
          <w:rFonts w:ascii="Batang" w:eastAsia="Batang" w:hAnsi="Batang"/>
          <w:sz w:val="28"/>
          <w:szCs w:val="28"/>
        </w:rPr>
        <w:t>The R02, ETC, will have copied over all the codes from the previous row. If there were procedure codes for procedures already reviewed previously, you can delete those from the concurrent review. (</w:t>
      </w:r>
      <w:proofErr w:type="gramStart"/>
      <w:r w:rsidRPr="00160E43">
        <w:rPr>
          <w:rFonts w:ascii="Batang" w:eastAsia="Batang" w:hAnsi="Batang"/>
          <w:sz w:val="28"/>
          <w:szCs w:val="28"/>
        </w:rPr>
        <w:t>in</w:t>
      </w:r>
      <w:proofErr w:type="gramEnd"/>
      <w:r w:rsidRPr="00160E43">
        <w:rPr>
          <w:rFonts w:ascii="Batang" w:eastAsia="Batang" w:hAnsi="Batang"/>
          <w:sz w:val="28"/>
          <w:szCs w:val="28"/>
        </w:rPr>
        <w:t xml:space="preserve"> the example below, I will remove 50360 as it was previously reviewed and approved.) It will ask for a reason, select entered in error and yes when asked if you want to remove it.</w:t>
      </w:r>
    </w:p>
    <w:p w14:paraId="6D9E4D0C" w14:textId="6EDC324A" w:rsidR="00356F24" w:rsidRPr="00160E43" w:rsidRDefault="00356F24">
      <w:pPr>
        <w:rPr>
          <w:rFonts w:ascii="Batang" w:eastAsia="Batang" w:hAnsi="Batang"/>
          <w:sz w:val="28"/>
          <w:szCs w:val="28"/>
        </w:rPr>
      </w:pPr>
      <w:r w:rsidRPr="00160E43">
        <w:rPr>
          <w:rFonts w:ascii="Batang" w:eastAsia="Batang" w:hAnsi="Batang"/>
          <w:noProof/>
          <w:sz w:val="28"/>
          <w:szCs w:val="28"/>
        </w:rPr>
        <w:lastRenderedPageBreak/>
        <w:drawing>
          <wp:inline distT="0" distB="0" distL="0" distR="0" wp14:anchorId="108230C1" wp14:editId="0EA9E73E">
            <wp:extent cx="9263045" cy="3829226"/>
            <wp:effectExtent l="0" t="0" r="0" b="0"/>
            <wp:docPr id="37273148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31480" name="Picture 1" descr="A screenshot of a computer&#10;&#10;Description automatically generated"/>
                    <pic:cNvPicPr/>
                  </pic:nvPicPr>
                  <pic:blipFill>
                    <a:blip r:embed="rId10"/>
                    <a:stretch>
                      <a:fillRect/>
                    </a:stretch>
                  </pic:blipFill>
                  <pic:spPr>
                    <a:xfrm>
                      <a:off x="0" y="0"/>
                      <a:ext cx="9283908" cy="3837850"/>
                    </a:xfrm>
                    <a:prstGeom prst="rect">
                      <a:avLst/>
                    </a:prstGeom>
                  </pic:spPr>
                </pic:pic>
              </a:graphicData>
            </a:graphic>
          </wp:inline>
        </w:drawing>
      </w:r>
    </w:p>
    <w:p w14:paraId="218DFBF8" w14:textId="06DA2917" w:rsidR="00356F24" w:rsidRPr="00160E43" w:rsidRDefault="00356F24">
      <w:pPr>
        <w:rPr>
          <w:rFonts w:ascii="Batang" w:eastAsia="Batang" w:hAnsi="Batang"/>
          <w:sz w:val="28"/>
          <w:szCs w:val="28"/>
        </w:rPr>
      </w:pPr>
      <w:r w:rsidRPr="00160E43">
        <w:rPr>
          <w:rFonts w:ascii="Batang" w:eastAsia="Batang" w:hAnsi="Batang"/>
          <w:sz w:val="28"/>
          <w:szCs w:val="28"/>
        </w:rPr>
        <w:t xml:space="preserve">The start date will </w:t>
      </w:r>
      <w:r w:rsidR="007B4897" w:rsidRPr="00160E43">
        <w:rPr>
          <w:rFonts w:ascii="Batang" w:eastAsia="Batang" w:hAnsi="Batang"/>
          <w:sz w:val="28"/>
          <w:szCs w:val="28"/>
        </w:rPr>
        <w:t>auto populate</w:t>
      </w:r>
      <w:r w:rsidRPr="00160E43">
        <w:rPr>
          <w:rFonts w:ascii="Batang" w:eastAsia="Batang" w:hAnsi="Batang"/>
          <w:sz w:val="28"/>
          <w:szCs w:val="28"/>
        </w:rPr>
        <w:t xml:space="preserve"> with the first non-covered </w:t>
      </w:r>
      <w:r w:rsidR="00160E43" w:rsidRPr="00160E43">
        <w:rPr>
          <w:rFonts w:ascii="Batang" w:eastAsia="Batang" w:hAnsi="Batang"/>
          <w:sz w:val="28"/>
          <w:szCs w:val="28"/>
        </w:rPr>
        <w:t>day,</w:t>
      </w:r>
      <w:r w:rsidRPr="00160E43">
        <w:rPr>
          <w:rFonts w:ascii="Batang" w:eastAsia="Batang" w:hAnsi="Batang"/>
          <w:sz w:val="28"/>
          <w:szCs w:val="28"/>
        </w:rPr>
        <w:t xml:space="preserve"> and you can either enter an end date or enter a quantity and it will populate the end date automatically. </w:t>
      </w:r>
    </w:p>
    <w:p w14:paraId="713D6B66" w14:textId="66C22554" w:rsidR="007B4897" w:rsidRPr="00160E43" w:rsidRDefault="007B4897">
      <w:pPr>
        <w:rPr>
          <w:rFonts w:ascii="Batang" w:eastAsia="Batang" w:hAnsi="Batang"/>
          <w:sz w:val="28"/>
          <w:szCs w:val="28"/>
        </w:rPr>
      </w:pPr>
      <w:r w:rsidRPr="00160E43">
        <w:rPr>
          <w:rFonts w:ascii="Batang" w:eastAsia="Batang" w:hAnsi="Batang"/>
          <w:sz w:val="28"/>
          <w:szCs w:val="28"/>
        </w:rPr>
        <w:t>Under the attachments tab, use the down carat to expand the section, then expand the documents section and select click here to upload file to attach your clinical documentation.</w:t>
      </w:r>
    </w:p>
    <w:p w14:paraId="7E29D49B" w14:textId="67EB8C6B" w:rsidR="007B4897" w:rsidRPr="00160E43" w:rsidRDefault="007B4897">
      <w:pPr>
        <w:rPr>
          <w:rFonts w:ascii="Batang" w:eastAsia="Batang" w:hAnsi="Batang"/>
          <w:sz w:val="28"/>
          <w:szCs w:val="28"/>
        </w:rPr>
      </w:pPr>
      <w:r w:rsidRPr="00160E43">
        <w:rPr>
          <w:rFonts w:ascii="Batang" w:eastAsia="Batang" w:hAnsi="Batang"/>
          <w:noProof/>
          <w:sz w:val="28"/>
          <w:szCs w:val="28"/>
        </w:rPr>
        <w:drawing>
          <wp:inline distT="0" distB="0" distL="0" distR="0" wp14:anchorId="5276D1BE" wp14:editId="2AA21ABE">
            <wp:extent cx="9232679" cy="1121434"/>
            <wp:effectExtent l="0" t="0" r="6985" b="2540"/>
            <wp:docPr id="168846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67716" name=""/>
                    <pic:cNvPicPr/>
                  </pic:nvPicPr>
                  <pic:blipFill>
                    <a:blip r:embed="rId11"/>
                    <a:stretch>
                      <a:fillRect/>
                    </a:stretch>
                  </pic:blipFill>
                  <pic:spPr>
                    <a:xfrm>
                      <a:off x="0" y="0"/>
                      <a:ext cx="9275878" cy="1126681"/>
                    </a:xfrm>
                    <a:prstGeom prst="rect">
                      <a:avLst/>
                    </a:prstGeom>
                  </pic:spPr>
                </pic:pic>
              </a:graphicData>
            </a:graphic>
          </wp:inline>
        </w:drawing>
      </w:r>
    </w:p>
    <w:p w14:paraId="6FBACB27" w14:textId="77777777" w:rsidR="007B4897" w:rsidRPr="00160E43" w:rsidRDefault="007B4897">
      <w:pPr>
        <w:rPr>
          <w:rFonts w:ascii="Batang" w:eastAsia="Batang" w:hAnsi="Batang"/>
          <w:sz w:val="28"/>
          <w:szCs w:val="28"/>
        </w:rPr>
      </w:pPr>
    </w:p>
    <w:p w14:paraId="514FE2EB" w14:textId="6B3E49EF" w:rsidR="007B4897" w:rsidRPr="00160E43" w:rsidRDefault="007B4897">
      <w:pPr>
        <w:rPr>
          <w:rFonts w:ascii="Batang" w:eastAsia="Batang" w:hAnsi="Batang"/>
          <w:sz w:val="28"/>
          <w:szCs w:val="28"/>
        </w:rPr>
      </w:pPr>
      <w:r w:rsidRPr="00160E43">
        <w:rPr>
          <w:rFonts w:ascii="Batang" w:eastAsia="Batang" w:hAnsi="Batang"/>
          <w:sz w:val="28"/>
          <w:szCs w:val="28"/>
        </w:rPr>
        <w:lastRenderedPageBreak/>
        <w:t>Note that the file limit in our production portal where you work will be 10mb. Mine shows as 4 due to being a training environment.</w:t>
      </w:r>
    </w:p>
    <w:p w14:paraId="5E660147" w14:textId="3D45D3CC" w:rsidR="007B4897" w:rsidRPr="00160E43" w:rsidRDefault="007B4897">
      <w:pPr>
        <w:rPr>
          <w:rFonts w:ascii="Batang" w:eastAsia="Batang" w:hAnsi="Batang"/>
          <w:sz w:val="28"/>
          <w:szCs w:val="28"/>
        </w:rPr>
      </w:pPr>
      <w:r w:rsidRPr="00160E43">
        <w:rPr>
          <w:rFonts w:ascii="Batang" w:eastAsia="Batang" w:hAnsi="Batang"/>
          <w:noProof/>
          <w:sz w:val="28"/>
          <w:szCs w:val="28"/>
        </w:rPr>
        <w:drawing>
          <wp:inline distT="0" distB="0" distL="0" distR="0" wp14:anchorId="3ADAFF51" wp14:editId="7886BDA4">
            <wp:extent cx="1803719" cy="2277374"/>
            <wp:effectExtent l="0" t="0" r="6350" b="8890"/>
            <wp:docPr id="13984403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4038" name="Picture 1" descr="A screenshot of a computer&#10;&#10;Description automatically generated"/>
                    <pic:cNvPicPr/>
                  </pic:nvPicPr>
                  <pic:blipFill>
                    <a:blip r:embed="rId12"/>
                    <a:stretch>
                      <a:fillRect/>
                    </a:stretch>
                  </pic:blipFill>
                  <pic:spPr>
                    <a:xfrm>
                      <a:off x="0" y="0"/>
                      <a:ext cx="1812587" cy="2288570"/>
                    </a:xfrm>
                    <a:prstGeom prst="rect">
                      <a:avLst/>
                    </a:prstGeom>
                  </pic:spPr>
                </pic:pic>
              </a:graphicData>
            </a:graphic>
          </wp:inline>
        </w:drawing>
      </w:r>
    </w:p>
    <w:p w14:paraId="0BE88C68" w14:textId="7F82102E" w:rsidR="007B4897" w:rsidRPr="00160E43" w:rsidRDefault="007B4897">
      <w:pPr>
        <w:rPr>
          <w:rFonts w:ascii="Batang" w:eastAsia="Batang" w:hAnsi="Batang"/>
          <w:sz w:val="28"/>
          <w:szCs w:val="28"/>
        </w:rPr>
      </w:pPr>
      <w:r w:rsidRPr="00160E43">
        <w:rPr>
          <w:rFonts w:ascii="Batang" w:eastAsia="Batang" w:hAnsi="Batang"/>
          <w:sz w:val="28"/>
          <w:szCs w:val="28"/>
        </w:rPr>
        <w:t xml:space="preserve">The final section </w:t>
      </w:r>
      <w:r w:rsidR="00160E43">
        <w:rPr>
          <w:rFonts w:ascii="Batang" w:eastAsia="Batang" w:hAnsi="Batang"/>
          <w:sz w:val="28"/>
          <w:szCs w:val="28"/>
        </w:rPr>
        <w:t>“</w:t>
      </w:r>
      <w:r w:rsidR="00160E43" w:rsidRPr="00160E43">
        <w:rPr>
          <w:rFonts w:ascii="Batang" w:eastAsia="Batang" w:hAnsi="Batang"/>
          <w:sz w:val="28"/>
          <w:szCs w:val="28"/>
        </w:rPr>
        <w:t>Communications</w:t>
      </w:r>
      <w:r w:rsidR="00160E43">
        <w:rPr>
          <w:rFonts w:ascii="Batang" w:eastAsia="Batang" w:hAnsi="Batang"/>
          <w:sz w:val="28"/>
          <w:szCs w:val="28"/>
        </w:rPr>
        <w:t>”</w:t>
      </w:r>
      <w:r w:rsidR="00160E43" w:rsidRPr="00160E43">
        <w:rPr>
          <w:rFonts w:ascii="Batang" w:eastAsia="Batang" w:hAnsi="Batang"/>
          <w:sz w:val="28"/>
          <w:szCs w:val="28"/>
        </w:rPr>
        <w:t xml:space="preserve"> </w:t>
      </w:r>
      <w:r w:rsidRPr="00160E43">
        <w:rPr>
          <w:rFonts w:ascii="Batang" w:eastAsia="Batang" w:hAnsi="Batang"/>
          <w:sz w:val="28"/>
          <w:szCs w:val="28"/>
        </w:rPr>
        <w:t xml:space="preserve">is where you can enter any Notes that you need to send to the clinical reviewer to see. </w:t>
      </w:r>
      <w:r w:rsidR="00160E43">
        <w:rPr>
          <w:rFonts w:ascii="Batang" w:eastAsia="Batang" w:hAnsi="Batang"/>
          <w:sz w:val="28"/>
          <w:szCs w:val="28"/>
        </w:rPr>
        <w:t>T</w:t>
      </w:r>
      <w:r w:rsidR="00160E43" w:rsidRPr="00160E43">
        <w:rPr>
          <w:rFonts w:ascii="Batang" w:eastAsia="Batang" w:hAnsi="Batang"/>
          <w:sz w:val="28"/>
          <w:szCs w:val="28"/>
        </w:rPr>
        <w:t>he last</w:t>
      </w:r>
      <w:r w:rsidRPr="00160E43">
        <w:rPr>
          <w:rFonts w:ascii="Batang" w:eastAsia="Batang" w:hAnsi="Batang"/>
          <w:sz w:val="28"/>
          <w:szCs w:val="28"/>
        </w:rPr>
        <w:t xml:space="preserve"> step is to click </w:t>
      </w:r>
      <w:r w:rsidR="00160E43">
        <w:rPr>
          <w:rFonts w:ascii="Batang" w:eastAsia="Batang" w:hAnsi="Batang"/>
          <w:sz w:val="28"/>
          <w:szCs w:val="28"/>
        </w:rPr>
        <w:t>accept on the disclaimer notice</w:t>
      </w:r>
      <w:r w:rsidRPr="00160E43">
        <w:rPr>
          <w:rFonts w:ascii="Batang" w:eastAsia="Batang" w:hAnsi="Batang"/>
          <w:sz w:val="28"/>
          <w:szCs w:val="28"/>
        </w:rPr>
        <w:t xml:space="preserve"> and submit</w:t>
      </w:r>
      <w:r w:rsidR="00160E43">
        <w:rPr>
          <w:rFonts w:ascii="Batang" w:eastAsia="Batang" w:hAnsi="Batang"/>
          <w:sz w:val="28"/>
          <w:szCs w:val="28"/>
        </w:rPr>
        <w:t>.</w:t>
      </w:r>
    </w:p>
    <w:p w14:paraId="23C92ACA" w14:textId="0CAF649E" w:rsidR="007B4897" w:rsidRPr="00160E43" w:rsidRDefault="007B4897">
      <w:pPr>
        <w:rPr>
          <w:rFonts w:ascii="Batang" w:eastAsia="Batang" w:hAnsi="Batang"/>
          <w:sz w:val="28"/>
          <w:szCs w:val="28"/>
        </w:rPr>
      </w:pPr>
      <w:r w:rsidRPr="00160E43">
        <w:rPr>
          <w:rFonts w:ascii="Batang" w:eastAsia="Batang" w:hAnsi="Batang"/>
          <w:noProof/>
          <w:sz w:val="28"/>
          <w:szCs w:val="28"/>
        </w:rPr>
        <w:drawing>
          <wp:inline distT="0" distB="0" distL="0" distR="0" wp14:anchorId="3FB3C489" wp14:editId="1DF08A03">
            <wp:extent cx="9366562" cy="810058"/>
            <wp:effectExtent l="0" t="0" r="0" b="9525"/>
            <wp:docPr id="1338325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325716" name=""/>
                    <pic:cNvPicPr/>
                  </pic:nvPicPr>
                  <pic:blipFill>
                    <a:blip r:embed="rId13"/>
                    <a:stretch>
                      <a:fillRect/>
                    </a:stretch>
                  </pic:blipFill>
                  <pic:spPr>
                    <a:xfrm>
                      <a:off x="0" y="0"/>
                      <a:ext cx="9418183" cy="814522"/>
                    </a:xfrm>
                    <a:prstGeom prst="rect">
                      <a:avLst/>
                    </a:prstGeom>
                  </pic:spPr>
                </pic:pic>
              </a:graphicData>
            </a:graphic>
          </wp:inline>
        </w:drawing>
      </w:r>
    </w:p>
    <w:p w14:paraId="36F7E849" w14:textId="7B3358FB" w:rsidR="008F08BF" w:rsidRPr="00160E43" w:rsidRDefault="008F08BF">
      <w:pPr>
        <w:rPr>
          <w:rFonts w:ascii="Batang" w:eastAsia="Batang" w:hAnsi="Batang"/>
          <w:sz w:val="28"/>
          <w:szCs w:val="28"/>
        </w:rPr>
      </w:pPr>
      <w:r w:rsidRPr="00160E43">
        <w:rPr>
          <w:rFonts w:ascii="Batang" w:eastAsia="Batang" w:hAnsi="Batang"/>
          <w:sz w:val="28"/>
          <w:szCs w:val="28"/>
        </w:rPr>
        <w:t xml:space="preserve">The screen will go back to the </w:t>
      </w:r>
      <w:r w:rsidR="00B25C08" w:rsidRPr="00160E43">
        <w:rPr>
          <w:rFonts w:ascii="Batang" w:eastAsia="Batang" w:hAnsi="Batang"/>
          <w:sz w:val="28"/>
          <w:szCs w:val="28"/>
        </w:rPr>
        <w:t>overview,</w:t>
      </w:r>
      <w:r w:rsidRPr="00160E43">
        <w:rPr>
          <w:rFonts w:ascii="Batang" w:eastAsia="Batang" w:hAnsi="Batang"/>
          <w:sz w:val="28"/>
          <w:szCs w:val="28"/>
        </w:rPr>
        <w:t xml:space="preserve"> and you can now see R02 states submitted.</w:t>
      </w:r>
    </w:p>
    <w:p w14:paraId="2B9253A4" w14:textId="41550F16" w:rsidR="008F08BF" w:rsidRPr="00160E43" w:rsidRDefault="008F08BF">
      <w:pPr>
        <w:rPr>
          <w:rFonts w:ascii="Batang" w:eastAsia="Batang" w:hAnsi="Batang"/>
          <w:sz w:val="28"/>
          <w:szCs w:val="28"/>
        </w:rPr>
      </w:pPr>
      <w:r w:rsidRPr="00160E43">
        <w:rPr>
          <w:rFonts w:ascii="Batang" w:eastAsia="Batang" w:hAnsi="Batang"/>
          <w:noProof/>
          <w:sz w:val="28"/>
          <w:szCs w:val="28"/>
        </w:rPr>
        <w:drawing>
          <wp:inline distT="0" distB="0" distL="0" distR="0" wp14:anchorId="77309289" wp14:editId="5D85E8F1">
            <wp:extent cx="7813807" cy="468266"/>
            <wp:effectExtent l="0" t="0" r="0" b="8255"/>
            <wp:docPr id="1393366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66759" name=""/>
                    <pic:cNvPicPr/>
                  </pic:nvPicPr>
                  <pic:blipFill>
                    <a:blip r:embed="rId14"/>
                    <a:stretch>
                      <a:fillRect/>
                    </a:stretch>
                  </pic:blipFill>
                  <pic:spPr>
                    <a:xfrm>
                      <a:off x="0" y="0"/>
                      <a:ext cx="8007201" cy="479856"/>
                    </a:xfrm>
                    <a:prstGeom prst="rect">
                      <a:avLst/>
                    </a:prstGeom>
                  </pic:spPr>
                </pic:pic>
              </a:graphicData>
            </a:graphic>
          </wp:inline>
        </w:drawing>
      </w:r>
    </w:p>
    <w:p w14:paraId="2F58FBC6" w14:textId="09886FF4" w:rsidR="00BB2BA9" w:rsidRDefault="008F08BF">
      <w:pPr>
        <w:rPr>
          <w:rFonts w:ascii="Batang" w:eastAsia="Batang" w:hAnsi="Batang"/>
          <w:sz w:val="28"/>
          <w:szCs w:val="28"/>
        </w:rPr>
      </w:pPr>
      <w:r w:rsidRPr="00160E43">
        <w:rPr>
          <w:rFonts w:ascii="Batang" w:eastAsia="Batang" w:hAnsi="Batang"/>
          <w:sz w:val="28"/>
          <w:szCs w:val="28"/>
        </w:rPr>
        <w:t>Your submission is completed.</w:t>
      </w:r>
    </w:p>
    <w:p w14:paraId="523BABB9" w14:textId="77777777" w:rsidR="00BB2BA9" w:rsidRDefault="00BB2BA9">
      <w:pPr>
        <w:rPr>
          <w:rFonts w:ascii="Batang" w:eastAsia="Batang" w:hAnsi="Batang"/>
          <w:sz w:val="28"/>
          <w:szCs w:val="28"/>
        </w:rPr>
      </w:pPr>
      <w:r>
        <w:rPr>
          <w:rFonts w:ascii="Batang" w:eastAsia="Batang" w:hAnsi="Batang"/>
          <w:sz w:val="28"/>
          <w:szCs w:val="28"/>
        </w:rPr>
        <w:br w:type="page"/>
      </w:r>
    </w:p>
    <w:p w14:paraId="5637A801" w14:textId="77777777" w:rsidR="00BB2BA9" w:rsidRPr="00DF7896" w:rsidRDefault="00BB2BA9" w:rsidP="00BB2BA9">
      <w:pPr>
        <w:jc w:val="center"/>
        <w:rPr>
          <w:b/>
          <w:bCs/>
          <w:color w:val="C00000"/>
          <w:sz w:val="52"/>
          <w:szCs w:val="52"/>
          <w:u w:val="single"/>
        </w:rPr>
      </w:pPr>
      <w:r w:rsidRPr="00DF7896">
        <w:rPr>
          <w:b/>
          <w:bCs/>
          <w:color w:val="C00000"/>
          <w:sz w:val="52"/>
          <w:szCs w:val="52"/>
          <w:u w:val="single"/>
        </w:rPr>
        <w:lastRenderedPageBreak/>
        <w:t>Below are some important links:</w:t>
      </w:r>
    </w:p>
    <w:p w14:paraId="3035195D" w14:textId="77777777" w:rsidR="00BB2BA9" w:rsidRPr="00DF7896" w:rsidRDefault="00BB2BA9" w:rsidP="00BB2BA9">
      <w:pPr>
        <w:rPr>
          <w:sz w:val="28"/>
          <w:szCs w:val="28"/>
        </w:rPr>
      </w:pPr>
      <w:r w:rsidRPr="00DF7896">
        <w:rPr>
          <w:sz w:val="28"/>
          <w:szCs w:val="28"/>
        </w:rPr>
        <w:t xml:space="preserve"> </w:t>
      </w:r>
    </w:p>
    <w:p w14:paraId="001AC6F3"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 xml:space="preserve">Training videos and other materials specific to Indiana Medicaid FFS are available at: </w:t>
      </w:r>
    </w:p>
    <w:p w14:paraId="1E4F1AAB" w14:textId="77777777" w:rsidR="00BB2BA9" w:rsidRPr="00DF7896" w:rsidRDefault="00752F0F" w:rsidP="00BB2BA9">
      <w:pPr>
        <w:rPr>
          <w:color w:val="2F5496" w:themeColor="accent1" w:themeShade="BF"/>
          <w:sz w:val="28"/>
          <w:szCs w:val="28"/>
        </w:rPr>
      </w:pPr>
      <w:hyperlink r:id="rId15" w:history="1">
        <w:r w:rsidR="00BB2BA9" w:rsidRPr="00DF7896">
          <w:rPr>
            <w:rStyle w:val="Hyperlink"/>
            <w:color w:val="034990" w:themeColor="hyperlink" w:themeShade="BF"/>
            <w:sz w:val="28"/>
            <w:szCs w:val="28"/>
          </w:rPr>
          <w:t>https://INMedicaidFFS.kepro.com</w:t>
        </w:r>
      </w:hyperlink>
    </w:p>
    <w:p w14:paraId="5BBEC30D"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 xml:space="preserve">New Provider Portal Link: </w:t>
      </w:r>
    </w:p>
    <w:p w14:paraId="404DA30A" w14:textId="77777777" w:rsidR="00BB2BA9" w:rsidRPr="00DF7896" w:rsidRDefault="00752F0F" w:rsidP="00BB2BA9">
      <w:pPr>
        <w:rPr>
          <w:color w:val="2F5496" w:themeColor="accent1" w:themeShade="BF"/>
          <w:sz w:val="28"/>
          <w:szCs w:val="28"/>
        </w:rPr>
      </w:pPr>
      <w:hyperlink r:id="rId16" w:history="1">
        <w:r w:rsidR="00BB2BA9" w:rsidRPr="00DF7896">
          <w:rPr>
            <w:rStyle w:val="Hyperlink"/>
            <w:color w:val="034990" w:themeColor="hyperlink" w:themeShade="BF"/>
            <w:sz w:val="28"/>
            <w:szCs w:val="28"/>
          </w:rPr>
          <w:t>https://portal.kepro.com</w:t>
        </w:r>
      </w:hyperlink>
    </w:p>
    <w:p w14:paraId="7D747DE3"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 xml:space="preserve">Standard system training materials are available at the Atrezzo Help site: </w:t>
      </w:r>
    </w:p>
    <w:p w14:paraId="790E63B3" w14:textId="77777777" w:rsidR="00BB2BA9" w:rsidRPr="00DF7896" w:rsidRDefault="00752F0F" w:rsidP="00BB2BA9">
      <w:pPr>
        <w:rPr>
          <w:color w:val="2F5496" w:themeColor="accent1" w:themeShade="BF"/>
          <w:sz w:val="28"/>
          <w:szCs w:val="28"/>
        </w:rPr>
      </w:pPr>
      <w:hyperlink r:id="rId17" w:history="1">
        <w:r w:rsidR="00BB2BA9" w:rsidRPr="00DF7896">
          <w:rPr>
            <w:rStyle w:val="Hyperlink"/>
            <w:color w:val="034990" w:themeColor="hyperlink" w:themeShade="BF"/>
            <w:sz w:val="28"/>
            <w:szCs w:val="28"/>
          </w:rPr>
          <w:t>https://www.kepro.com/atrezzo-help</w:t>
        </w:r>
      </w:hyperlink>
    </w:p>
    <w:p w14:paraId="3813BC25"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FSSA forms link:</w:t>
      </w:r>
    </w:p>
    <w:p w14:paraId="6825A37E" w14:textId="77777777" w:rsidR="00BB2BA9" w:rsidRPr="00DF7896" w:rsidRDefault="00752F0F" w:rsidP="00BB2BA9">
      <w:pPr>
        <w:rPr>
          <w:color w:val="2F5496" w:themeColor="accent1" w:themeShade="BF"/>
          <w:sz w:val="28"/>
          <w:szCs w:val="28"/>
        </w:rPr>
      </w:pPr>
      <w:hyperlink r:id="rId18" w:history="1">
        <w:r w:rsidR="00BB2BA9" w:rsidRPr="00DF7896">
          <w:rPr>
            <w:rStyle w:val="Hyperlink"/>
            <w:color w:val="034990" w:themeColor="hyperlink" w:themeShade="BF"/>
            <w:sz w:val="28"/>
            <w:szCs w:val="28"/>
          </w:rPr>
          <w:t>https://www.in.gov/medicaid/providers/provider-references/forms/</w:t>
        </w:r>
      </w:hyperlink>
      <w:r w:rsidR="00BB2BA9" w:rsidRPr="00DF7896">
        <w:rPr>
          <w:color w:val="2F5496" w:themeColor="accent1" w:themeShade="BF"/>
          <w:sz w:val="28"/>
          <w:szCs w:val="28"/>
        </w:rPr>
        <w:t xml:space="preserve"> </w:t>
      </w:r>
    </w:p>
    <w:p w14:paraId="06FE00A1"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Modules for providers:</w:t>
      </w:r>
    </w:p>
    <w:p w14:paraId="596ACA86" w14:textId="77777777" w:rsidR="00BB2BA9" w:rsidRPr="00DF7896" w:rsidRDefault="00752F0F" w:rsidP="00BB2BA9">
      <w:pPr>
        <w:rPr>
          <w:color w:val="2F5496" w:themeColor="accent1" w:themeShade="BF"/>
          <w:sz w:val="28"/>
          <w:szCs w:val="28"/>
        </w:rPr>
      </w:pPr>
      <w:hyperlink r:id="rId19" w:history="1">
        <w:r w:rsidR="00BB2BA9" w:rsidRPr="00DF7896">
          <w:rPr>
            <w:rStyle w:val="Hyperlink"/>
            <w:color w:val="034990" w:themeColor="hyperlink" w:themeShade="BF"/>
            <w:sz w:val="28"/>
            <w:szCs w:val="28"/>
          </w:rPr>
          <w:t>Indiana Medicaid: Providers: IHCP Provider Reference Modules</w:t>
        </w:r>
      </w:hyperlink>
    </w:p>
    <w:p w14:paraId="70E84CB2"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Provider Fee Schedules:</w:t>
      </w:r>
    </w:p>
    <w:p w14:paraId="1AD33696" w14:textId="77777777" w:rsidR="00BB2BA9" w:rsidRPr="00DF7896" w:rsidRDefault="00752F0F" w:rsidP="00BB2BA9">
      <w:pPr>
        <w:rPr>
          <w:color w:val="2F5496" w:themeColor="accent1" w:themeShade="BF"/>
          <w:sz w:val="28"/>
          <w:szCs w:val="28"/>
        </w:rPr>
      </w:pPr>
      <w:hyperlink r:id="rId20" w:history="1">
        <w:r w:rsidR="00BB2BA9" w:rsidRPr="00DF7896">
          <w:rPr>
            <w:rStyle w:val="Hyperlink"/>
            <w:color w:val="034990" w:themeColor="hyperlink" w:themeShade="BF"/>
            <w:sz w:val="28"/>
            <w:szCs w:val="28"/>
          </w:rPr>
          <w:t>Indiana Medicaid: Providers: IHCP Fee Schedules</w:t>
        </w:r>
      </w:hyperlink>
    </w:p>
    <w:p w14:paraId="33E1DDF4" w14:textId="77777777" w:rsidR="00BB2BA9" w:rsidRPr="00DF7896" w:rsidRDefault="00BB2BA9" w:rsidP="00BB2BA9">
      <w:pPr>
        <w:rPr>
          <w:sz w:val="28"/>
          <w:szCs w:val="28"/>
        </w:rPr>
      </w:pPr>
      <w:r w:rsidRPr="00DF7896">
        <w:rPr>
          <w:sz w:val="28"/>
          <w:szCs w:val="28"/>
        </w:rPr>
        <w:t xml:space="preserve"> </w:t>
      </w:r>
    </w:p>
    <w:p w14:paraId="7B0C9BB9" w14:textId="77777777" w:rsidR="00BB2BA9" w:rsidRPr="00DF7896" w:rsidRDefault="00BB2BA9" w:rsidP="00BB2BA9">
      <w:pPr>
        <w:rPr>
          <w:color w:val="538135" w:themeColor="accent6" w:themeShade="BF"/>
          <w:sz w:val="28"/>
          <w:szCs w:val="28"/>
        </w:rPr>
      </w:pPr>
      <w:r w:rsidRPr="00DF7896">
        <w:rPr>
          <w:color w:val="538135" w:themeColor="accent6" w:themeShade="BF"/>
          <w:sz w:val="28"/>
          <w:szCs w:val="28"/>
        </w:rPr>
        <w:t>Contact Support Center:</w:t>
      </w:r>
    </w:p>
    <w:p w14:paraId="2DBF105A" w14:textId="78A3AEE6" w:rsidR="00BB2BA9" w:rsidRPr="00A47201" w:rsidRDefault="00BB2BA9" w:rsidP="00BB2BA9">
      <w:pPr>
        <w:rPr>
          <w:rStyle w:val="Hyperlink"/>
        </w:rPr>
      </w:pPr>
      <w:r w:rsidRPr="00DF7896">
        <w:rPr>
          <w:color w:val="000000" w:themeColor="text1"/>
          <w:sz w:val="28"/>
          <w:szCs w:val="28"/>
        </w:rPr>
        <w:t>•</w:t>
      </w:r>
      <w:r w:rsidRPr="00DF7896">
        <w:rPr>
          <w:color w:val="2F5496" w:themeColor="accent1" w:themeShade="BF"/>
          <w:sz w:val="28"/>
          <w:szCs w:val="28"/>
        </w:rPr>
        <w:tab/>
      </w:r>
      <w:hyperlink r:id="rId21" w:history="1">
        <w:r w:rsidR="00752F0F" w:rsidRPr="00073DF0">
          <w:rPr>
            <w:rStyle w:val="Hyperlink"/>
            <w:sz w:val="28"/>
            <w:szCs w:val="28"/>
          </w:rPr>
          <w:t>INPriorAuthIssues@Acentra.com</w:t>
        </w:r>
      </w:hyperlink>
    </w:p>
    <w:p w14:paraId="15E32830" w14:textId="77777777" w:rsidR="00BB2BA9" w:rsidRPr="00DF7896" w:rsidRDefault="00BB2BA9" w:rsidP="00BB2BA9">
      <w:pPr>
        <w:rPr>
          <w:sz w:val="28"/>
          <w:szCs w:val="28"/>
        </w:rPr>
      </w:pPr>
      <w:r w:rsidRPr="00DF7896">
        <w:rPr>
          <w:sz w:val="28"/>
          <w:szCs w:val="28"/>
        </w:rPr>
        <w:t>•</w:t>
      </w:r>
      <w:r w:rsidRPr="00DF7896">
        <w:rPr>
          <w:sz w:val="28"/>
          <w:szCs w:val="28"/>
        </w:rPr>
        <w:tab/>
        <w:t>Phone: 866.725.9991</w:t>
      </w:r>
    </w:p>
    <w:p w14:paraId="2E623B44" w14:textId="39B2EC84" w:rsidR="008F08BF" w:rsidRPr="00BB2BA9" w:rsidRDefault="00BB2BA9">
      <w:pPr>
        <w:rPr>
          <w:sz w:val="28"/>
          <w:szCs w:val="28"/>
        </w:rPr>
      </w:pPr>
      <w:r w:rsidRPr="00DF7896">
        <w:rPr>
          <w:sz w:val="28"/>
          <w:szCs w:val="28"/>
        </w:rPr>
        <w:t>•</w:t>
      </w:r>
      <w:r w:rsidRPr="00DF7896">
        <w:rPr>
          <w:sz w:val="28"/>
          <w:szCs w:val="28"/>
        </w:rPr>
        <w:tab/>
        <w:t>Fax 1-800-261-2774</w:t>
      </w:r>
    </w:p>
    <w:sectPr w:rsidR="008F08BF" w:rsidRPr="00BB2BA9" w:rsidSect="00160E43">
      <w:pgSz w:w="15840" w:h="12240" w:orient="landscape"/>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E8"/>
    <w:rsid w:val="00160E43"/>
    <w:rsid w:val="002525D5"/>
    <w:rsid w:val="00356F24"/>
    <w:rsid w:val="003B3F04"/>
    <w:rsid w:val="005947E8"/>
    <w:rsid w:val="0063685A"/>
    <w:rsid w:val="00752F0F"/>
    <w:rsid w:val="007B4897"/>
    <w:rsid w:val="00851BAC"/>
    <w:rsid w:val="008F08BF"/>
    <w:rsid w:val="00AF158E"/>
    <w:rsid w:val="00B25C08"/>
    <w:rsid w:val="00BB2BA9"/>
    <w:rsid w:val="00E71D3C"/>
    <w:rsid w:val="00EC0D9F"/>
    <w:rsid w:val="00F45D9C"/>
    <w:rsid w:val="00F6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2DB0"/>
  <w15:chartTrackingRefBased/>
  <w15:docId w15:val="{CC5890BA-4DE9-4BA5-A8DC-364783D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1D3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E71D3C"/>
    <w:rPr>
      <w:rFonts w:eastAsiaTheme="minorEastAsia"/>
      <w:kern w:val="0"/>
      <w14:ligatures w14:val="none"/>
    </w:rPr>
  </w:style>
  <w:style w:type="character" w:styleId="Hyperlink">
    <w:name w:val="Hyperlink"/>
    <w:basedOn w:val="DefaultParagraphFont"/>
    <w:uiPriority w:val="99"/>
    <w:unhideWhenUsed/>
    <w:rsid w:val="00BB2BA9"/>
    <w:rPr>
      <w:color w:val="0563C1" w:themeColor="hyperlink"/>
      <w:u w:val="single"/>
    </w:rPr>
  </w:style>
  <w:style w:type="character" w:styleId="UnresolvedMention">
    <w:name w:val="Unresolved Mention"/>
    <w:basedOn w:val="DefaultParagraphFont"/>
    <w:uiPriority w:val="99"/>
    <w:semiHidden/>
    <w:unhideWhenUsed/>
    <w:rsid w:val="0075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in.gov/medicaid/providers/provider-references/forms/%20" TargetMode="External"/><Relationship Id="rId3" Type="http://schemas.openxmlformats.org/officeDocument/2006/relationships/settings" Target="settings.xml"/><Relationship Id="rId21" Type="http://schemas.openxmlformats.org/officeDocument/2006/relationships/hyperlink" Target="mailto:INPriorAuthIssues@Acentra.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kepro.com/atrezzo-help" TargetMode="External"/><Relationship Id="rId2" Type="http://schemas.openxmlformats.org/officeDocument/2006/relationships/styles" Target="styles.xml"/><Relationship Id="rId16" Type="http://schemas.openxmlformats.org/officeDocument/2006/relationships/hyperlink" Target="https://portal.kepro.com" TargetMode="External"/><Relationship Id="rId20" Type="http://schemas.openxmlformats.org/officeDocument/2006/relationships/hyperlink" Target="https://www.in.gov/medicaid/providers/business-transactions/billing-and-remittance/ihcp-fee-schedule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INMedicaidFFS.kepro.com"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in.gov/medicaid/providers/provider-references/bulletins-banner-pages-and-reference-modules/ihcp-provider-reference-module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step-by-step overview of how to submit a concurrent review on your PA.</Abstract>
  <CompanyAddress/>
  <CompanyPhone/>
  <CompanyFax/>
  <CompanyEmail>ACENTRA</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Review Submissions</dc:title>
  <dc:subject>Step by Step Instructions</dc:subject>
  <dc:creator>Provider Relations</dc:creator>
  <cp:keywords/>
  <dc:description/>
  <cp:lastModifiedBy>Wendy M. Sprigler</cp:lastModifiedBy>
  <cp:revision>3</cp:revision>
  <dcterms:created xsi:type="dcterms:W3CDTF">2023-12-07T17:00:00Z</dcterms:created>
  <dcterms:modified xsi:type="dcterms:W3CDTF">2024-03-07T20:46:00Z</dcterms:modified>
</cp:coreProperties>
</file>